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6D429">
      <w:pPr>
        <w:pageBreakBefore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7</w:t>
      </w:r>
    </w:p>
    <w:p w14:paraId="1EA21DC7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14:paraId="72C49FB8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14:paraId="332D4DA6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14:paraId="7CAD6258">
      <w:pPr>
        <w:pStyle w:val="4"/>
        <w:tabs>
          <w:tab w:val="left" w:pos="195"/>
          <w:tab w:val="center" w:pos="7285"/>
        </w:tabs>
        <w:jc w:val="righ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>.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2.202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года № 3</w:t>
      </w:r>
      <w:r>
        <w:rPr>
          <w:rFonts w:hint="default"/>
          <w:sz w:val="24"/>
          <w:szCs w:val="24"/>
          <w:lang w:val="ru-RU"/>
        </w:rPr>
        <w:t>16</w:t>
      </w:r>
    </w:p>
    <w:p w14:paraId="6431C2EC">
      <w:pPr>
        <w:jc w:val="right"/>
        <w:rPr>
          <w:sz w:val="24"/>
          <w:szCs w:val="24"/>
        </w:rPr>
      </w:pPr>
      <w:r>
        <w:rPr>
          <w:rFonts w:hint="default"/>
          <w:i/>
          <w:iCs/>
          <w:sz w:val="20"/>
          <w:szCs w:val="20"/>
          <w:lang w:val="ru-RU"/>
        </w:rPr>
        <w:t>(в редакции от 14.11.2025 г. № 388)</w:t>
      </w:r>
      <w:bookmarkStart w:id="0" w:name="_GoBack"/>
      <w:bookmarkEnd w:id="0"/>
    </w:p>
    <w:p w14:paraId="26677EEC">
      <w:pPr>
        <w:jc w:val="right"/>
        <w:rPr>
          <w:sz w:val="24"/>
          <w:szCs w:val="24"/>
        </w:rPr>
      </w:pPr>
    </w:p>
    <w:p w14:paraId="5A8AE1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субсидий</w:t>
      </w:r>
    </w:p>
    <w:p w14:paraId="43B9F7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 бюджета Большеболдинского муниципального округа Нижегородской области </w:t>
      </w:r>
    </w:p>
    <w:p w14:paraId="0DB66F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оказание финансовой поддержки муниципальным унитарным предприятиям</w:t>
      </w:r>
    </w:p>
    <w:p w14:paraId="624638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2025 год и на плановый период 2026 и 2027 годов</w:t>
      </w:r>
    </w:p>
    <w:p w14:paraId="4562C918">
      <w:pPr>
        <w:jc w:val="center"/>
        <w:rPr>
          <w:b/>
          <w:sz w:val="24"/>
          <w:szCs w:val="24"/>
        </w:rPr>
      </w:pPr>
    </w:p>
    <w:p w14:paraId="347D2A0A">
      <w:pPr>
        <w:jc w:val="right"/>
      </w:pPr>
      <w:r>
        <w:t>(тыс. рублей)</w:t>
      </w:r>
    </w:p>
    <w:p w14:paraId="5E5161BC">
      <w:pPr>
        <w:jc w:val="right"/>
      </w:pPr>
    </w:p>
    <w:tbl>
      <w:tblPr>
        <w:tblStyle w:val="5"/>
        <w:tblW w:w="961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2999"/>
        <w:gridCol w:w="2282"/>
        <w:gridCol w:w="1257"/>
        <w:gridCol w:w="1475"/>
        <w:gridCol w:w="1111"/>
      </w:tblGrid>
      <w:tr w14:paraId="07A2A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B98C8">
            <w:pPr>
              <w:ind w:firstLine="0"/>
              <w:jc w:val="left"/>
            </w:pPr>
            <w:r>
              <w:t>№ п/п</w:t>
            </w: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FBF86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C1E4">
            <w:pPr>
              <w:ind w:firstLine="0"/>
              <w:jc w:val="center"/>
            </w:pPr>
            <w:r>
              <w:t>Наименование муниципального унитарного предприятия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50B2">
            <w:pPr>
              <w:ind w:firstLine="0"/>
              <w:jc w:val="center"/>
            </w:pPr>
            <w:r>
              <w:t>2025 год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A2F24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015FA">
            <w:pPr>
              <w:ind w:firstLine="0"/>
              <w:jc w:val="center"/>
            </w:pPr>
            <w:r>
              <w:t>2027 год</w:t>
            </w:r>
          </w:p>
        </w:tc>
      </w:tr>
      <w:tr w14:paraId="26C4A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6CA63">
            <w:pPr>
              <w:ind w:firstLine="0"/>
              <w:jc w:val="center"/>
            </w:pPr>
            <w:r>
              <w:t>1</w:t>
            </w: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D9C96">
            <w:pPr>
              <w:ind w:firstLine="0"/>
              <w:jc w:val="left"/>
            </w:pPr>
            <w:r>
              <w:t>Субсидия на финансовое обеспечение затрат в целях предупреждения банкротства, восстановления платежеспособности и обеспечения устойчивой работы</w:t>
            </w: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DE8EB">
            <w:pPr>
              <w:ind w:firstLine="0"/>
              <w:jc w:val="center"/>
            </w:pPr>
            <w:r>
              <w:t>Муниципальное унитарное предприятие жилищно-коммунального хозяйства «Коммунальник»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85BDC">
            <w:pPr>
              <w:ind w:firstLine="0"/>
              <w:jc w:val="center"/>
            </w:pPr>
            <w:r>
              <w:t>17113,2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572E1">
            <w:pPr>
              <w:ind w:left="200" w:leftChars="100" w:firstLine="0"/>
            </w:pPr>
            <w:r>
              <w:t>1752,5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1206">
            <w:pPr>
              <w:jc w:val="center"/>
            </w:pPr>
          </w:p>
        </w:tc>
      </w:tr>
      <w:tr w14:paraId="6B5B9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CFFE6">
            <w:pPr>
              <w:ind w:firstLine="0"/>
              <w:jc w:val="center"/>
            </w:pPr>
            <w:r>
              <w:t>2</w:t>
            </w: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E9BF5">
            <w:pPr>
              <w:ind w:left="-10" w:leftChars="-5" w:firstLine="12"/>
              <w:jc w:val="left"/>
              <w:rPr>
                <w:color w:val="000000"/>
              </w:rPr>
            </w:pPr>
            <w:r>
              <w:t xml:space="preserve">Субсидия на финансовое обеспечение затрат на погашение задолженности за потребленные энергоресурсы </w:t>
            </w:r>
            <w:r>
              <w:rPr>
                <w:color w:val="000000"/>
              </w:rPr>
              <w:t>за счет средств резервного фонда Правительства Нижегородской области.»;</w:t>
            </w:r>
          </w:p>
          <w:p w14:paraId="65E46F84">
            <w:pPr>
              <w:ind w:firstLine="0"/>
              <w:jc w:val="left"/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F3D8">
            <w:pPr>
              <w:ind w:firstLine="0"/>
              <w:jc w:val="center"/>
            </w:pPr>
            <w:r>
              <w:t>Муниципальное унитарное предприятие жилищно-коммунального хозяйства «Коммунальник»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350A">
            <w:pPr>
              <w:ind w:firstLine="0"/>
              <w:jc w:val="center"/>
            </w:pPr>
            <w:r>
              <w:t>11250,0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5A6C7">
            <w:pPr>
              <w:jc w:val="center"/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2638F">
            <w:pPr>
              <w:jc w:val="center"/>
            </w:pPr>
          </w:p>
        </w:tc>
      </w:tr>
    </w:tbl>
    <w:p w14:paraId="7ECCB6B8">
      <w:pPr>
        <w:ind w:firstLine="0"/>
      </w:pPr>
    </w:p>
    <w:p w14:paraId="19BCC05B">
      <w:pPr>
        <w:ind w:firstLine="0"/>
      </w:pPr>
    </w:p>
    <w:p w14:paraId="01FF4CAF">
      <w:pPr>
        <w:ind w:left="-567" w:firstLine="1276"/>
        <w:jc w:val="right"/>
        <w:rPr>
          <w:sz w:val="24"/>
          <w:szCs w:val="24"/>
        </w:rPr>
      </w:pPr>
    </w:p>
    <w:p w14:paraId="363E48E1">
      <w:pPr>
        <w:ind w:left="-567" w:firstLine="1276"/>
        <w:jc w:val="right"/>
        <w:rPr>
          <w:sz w:val="24"/>
          <w:szCs w:val="24"/>
        </w:rPr>
      </w:pPr>
    </w:p>
    <w:p w14:paraId="5FDEECAF">
      <w:pPr>
        <w:ind w:left="-567" w:firstLine="1276"/>
        <w:jc w:val="right"/>
        <w:rPr>
          <w:sz w:val="24"/>
          <w:szCs w:val="24"/>
        </w:rPr>
      </w:pPr>
    </w:p>
    <w:p w14:paraId="5DD2AADE">
      <w:pPr>
        <w:ind w:left="-567" w:firstLine="1276"/>
        <w:jc w:val="right"/>
        <w:rPr>
          <w:sz w:val="24"/>
          <w:szCs w:val="24"/>
        </w:rPr>
      </w:pPr>
    </w:p>
    <w:p w14:paraId="34BB801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A8C"/>
    <w:rsid w:val="001C574C"/>
    <w:rsid w:val="00285A8C"/>
    <w:rsid w:val="008D23DB"/>
    <w:rsid w:val="0B4A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 21"/>
    <w:basedOn w:val="1"/>
    <w:qFormat/>
    <w:uiPriority w:val="0"/>
    <w:rPr>
      <w:sz w:val="28"/>
    </w:rPr>
  </w:style>
  <w:style w:type="table" w:customStyle="1" w:styleId="5">
    <w:name w:val="Сетка таблицы1"/>
    <w:basedOn w:val="3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2025-11-17T12:41:00Z</dcterms:created>
  <dc:creator>Пользователь Windows</dc:creator>
  <cp:lastModifiedBy>User</cp:lastModifiedBy>
  <dcterms:modified xsi:type="dcterms:W3CDTF">2025-11-18T06:47:08Z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19556F4F698F465BBA68F62B34BC6F60_12</vt:lpwstr>
  </property>
</Properties>
</file>